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63" w:rsidRDefault="00017E63" w:rsidP="00017E63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17E63" w:rsidRDefault="00017E63" w:rsidP="00017E63">
      <w:pPr>
        <w:pStyle w:val="2"/>
        <w:ind w:leftChars="0" w:left="0" w:firstLineChars="0" w:firstLine="0"/>
        <w:jc w:val="center"/>
        <w:rPr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全国共享乡村振兴</w:t>
      </w:r>
      <w:proofErr w:type="gramStart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导师考核指标</w:t>
      </w:r>
    </w:p>
    <w:tbl>
      <w:tblPr>
        <w:tblW w:w="138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361"/>
        <w:gridCol w:w="3225"/>
        <w:gridCol w:w="1111"/>
        <w:gridCol w:w="3760"/>
      </w:tblGrid>
      <w:tr w:rsidR="00017E63" w:rsidTr="00E41ABC">
        <w:trPr>
          <w:trHeight w:val="395"/>
        </w:trPr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 w:rsidR="00017E63" w:rsidTr="00E41ABC">
        <w:trPr>
          <w:trHeight w:val="510"/>
        </w:trPr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师德表现</w:t>
            </w:r>
          </w:p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遵纪守法，为人师表，爱岗敬业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各方评价反馈较好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以</w:t>
            </w:r>
            <w:r>
              <w:rPr>
                <w:rStyle w:val="font51"/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下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任意一项即可</w:t>
            </w:r>
            <w:r>
              <w:rPr>
                <w:rStyle w:val="font51"/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：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各方对师资的好评截图；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相关获奖证书或文件。</w:t>
            </w:r>
          </w:p>
        </w:tc>
      </w:tr>
      <w:tr w:rsidR="00017E63" w:rsidTr="00E41ABC">
        <w:trPr>
          <w:trHeight w:val="510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培训教学</w:t>
            </w:r>
          </w:p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平均每年承担农民培训教学任务数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每期培训需单独提供证明材料</w:t>
            </w:r>
            <w:r>
              <w:rPr>
                <w:rStyle w:val="font01"/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  <w:t>，</w:t>
            </w: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  <w:lang w:bidi="ar"/>
              </w:rPr>
              <w:t>以</w:t>
            </w:r>
            <w:r>
              <w:rPr>
                <w:rStyle w:val="font51"/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  <w:lang w:bidi="ar"/>
              </w:rPr>
              <w:t>下</w:t>
            </w: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  <w:lang w:bidi="ar"/>
              </w:rPr>
              <w:t>任意一项即可</w:t>
            </w:r>
            <w:r>
              <w:rPr>
                <w:rStyle w:val="font51"/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  <w:lang w:bidi="ar"/>
              </w:rPr>
              <w:t>：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派遣任务书、授课邀请函；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明确师资授课内容和时间的培训手册、日程安排等；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加盖培训机构公章的相关证明。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平均每年开展跨省培训授课期数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授课平均满意率（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分满分）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4.90-4.94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全国农民教育培训管理系统数据，如未纳入数据库，则需提供以下任意一项即可：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共享师资授课情况反馈表；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培训后相关调查问卷；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加盖培训机构公章的学员满意率证明。</w:t>
            </w: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4.95-4.98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4.99-5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围绕本人授课主题，积极开展和参与培训实践探索和理论研究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对个人专业技能、从业经历、实战经验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等总结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提炼，形成案例、模式等；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参与开发县级及以上教材、微课、课件等教学资源；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参与编制培训规范、标准等；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参加教学竞赛；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参加县级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以上相关课题研究、科研项目等。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成果相关文字、图片、音视频资料。</w:t>
            </w: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1856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案例、教学资源、规范标准等在省级及以上范围推广使用、获得省级及以上奖励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媒体报道等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指标项的得分累计，但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</w:t>
            </w:r>
          </w:p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线下走访、面对面对学员进行跟踪服务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线上线下跟踪服务可累计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分，总分不超过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共享师资学员跟踪服务表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可用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跟踪服务照片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文字和影像资料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辅助证明（非必须）。</w:t>
            </w: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远程对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学员进行跟踪服务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10-19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20-29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学员接受跟踪服务后，生产技能或生产效益有明显提升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学员获得市级及以上奖励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学员获奖证书或文件。</w:t>
            </w:r>
          </w:p>
        </w:tc>
      </w:tr>
      <w:tr w:rsidR="00017E63" w:rsidTr="00E41ABC">
        <w:trPr>
          <w:trHeight w:val="454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示范带动</w:t>
            </w:r>
          </w:p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示范微课</w:t>
            </w:r>
            <w:proofErr w:type="gramEnd"/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微课原件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或可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观看微课的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网页链接。</w:t>
            </w:r>
          </w:p>
        </w:tc>
      </w:tr>
      <w:tr w:rsidR="00017E63" w:rsidTr="00E41ABC">
        <w:trPr>
          <w:trHeight w:val="454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5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门及以上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1357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微课获奖</w:t>
            </w:r>
            <w:proofErr w:type="gramEnd"/>
          </w:p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指标项得分累计，但总分不超过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分；不能与培训教学中教学竞赛获奖重复计分）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获奖证书或文件。</w:t>
            </w:r>
          </w:p>
        </w:tc>
      </w:tr>
      <w:tr w:rsidR="00017E63" w:rsidTr="00E41ABC">
        <w:trPr>
          <w:trHeight w:val="48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讲授公益性示范课或观摩课、做专题讲座、介绍典型经验等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（作为专家师资受邀单独开展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，作为学员参训中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典型发言等不计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每项工作</w:t>
            </w:r>
            <w:r>
              <w:rPr>
                <w:rStyle w:val="font01"/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需单独提供证明材料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授课、发言邀请函或有具体发言授课安排的会议培训手册；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相关证书或文件；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新闻报道；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发表文章截图；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其他工作或活动相关文字和影像资料。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br/>
            </w:r>
          </w:p>
        </w:tc>
      </w:tr>
      <w:tr w:rsidR="00017E63" w:rsidTr="00E41ABC">
        <w:trPr>
          <w:trHeight w:val="48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462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755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在全国性会议、论坛上作典型发言（小组研讨交流发言、代表组内发言不计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在省级及以上师资培训班授课或进行教学示范（作为学员参训中示范不计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获得省级及以上农技推广、科研、技能大赛等奖项，获得技术专利；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在省级及以上刊物发表文章。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675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613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81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360"/>
        </w:trPr>
        <w:tc>
          <w:tcPr>
            <w:tcW w:w="142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一票否决项</w:t>
            </w:r>
          </w:p>
        </w:tc>
        <w:tc>
          <w:tcPr>
            <w:tcW w:w="8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有违背职业道德行为，出现性质恶劣、影响较大，严重损害农民教育培训师资形象的事件。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文字、图片、音视频资料。</w:t>
            </w:r>
          </w:p>
        </w:tc>
      </w:tr>
      <w:tr w:rsidR="00017E63" w:rsidTr="00E41ABC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考核期内累计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次及以上不服从中央农广校、省级农广校的调配和派遣。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每年全程授课少于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期班次。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E63" w:rsidTr="00E41ABC">
        <w:trPr>
          <w:trHeight w:val="360"/>
        </w:trPr>
        <w:tc>
          <w:tcPr>
            <w:tcW w:w="1420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在培训中存在违规违纪行为，经群众举报或新闻媒体曝光并查实的。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E63" w:rsidRDefault="00017E63" w:rsidP="00E41ABC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7E63" w:rsidRDefault="00017E63" w:rsidP="00017E63">
      <w:pPr>
        <w:pStyle w:val="2"/>
        <w:ind w:leftChars="0" w:left="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注：总分为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+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附加分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分为合格，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85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分及以上为优秀。</w:t>
      </w:r>
    </w:p>
    <w:p w:rsidR="00017E63" w:rsidRDefault="00017E63" w:rsidP="00017E63">
      <w:pPr>
        <w:pStyle w:val="2"/>
        <w:ind w:leftChars="0" w:left="0" w:firstLineChars="0" w:firstLine="0"/>
      </w:pPr>
    </w:p>
    <w:p w:rsidR="00017E63" w:rsidRPr="00017E63" w:rsidRDefault="00017E63"/>
    <w:sectPr w:rsidR="00017E63" w:rsidRPr="00017E6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3"/>
    <w:rsid w:val="000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B54C-6E0A-4010-85FF-A18D7D5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017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17E6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17E63"/>
  </w:style>
  <w:style w:type="paragraph" w:styleId="2">
    <w:name w:val="Body Text First Indent 2"/>
    <w:basedOn w:val="a3"/>
    <w:link w:val="20"/>
    <w:qFormat/>
    <w:rsid w:val="00017E63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017E63"/>
  </w:style>
  <w:style w:type="character" w:customStyle="1" w:styleId="font51">
    <w:name w:val="font51"/>
    <w:basedOn w:val="a0"/>
    <w:autoRedefine/>
    <w:qFormat/>
    <w:rsid w:val="00017E63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sid w:val="00017E6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32A9-D546-4F37-BF0A-F013E39E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2024-09-06T01:03:00Z</dcterms:created>
  <dcterms:modified xsi:type="dcterms:W3CDTF">2024-09-06T01:03:00Z</dcterms:modified>
</cp:coreProperties>
</file>